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D5589" w:rsidRDefault="008D5589" w:rsidP="008D558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5C5335" wp14:editId="7FF105B8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5589" w:rsidRDefault="008D5589" w:rsidP="008D558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8D5589" w:rsidRDefault="008D5589" w:rsidP="008D558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8D5589" w:rsidRDefault="008D5589" w:rsidP="008D558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8D5589" w:rsidRDefault="008D5589" w:rsidP="008D558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8D5589" w:rsidRDefault="008D5589" w:rsidP="008D558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8D5589" w:rsidRDefault="008D5589" w:rsidP="008D558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5C757281" wp14:editId="20B6B913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4A64BE" w:rsidRPr="008D5589" w:rsidRDefault="008D5589" w:rsidP="008D5589">
      <w:pPr>
        <w:spacing w:line="240" w:lineRule="auto"/>
        <w:jc w:val="center"/>
        <w:rPr>
          <w:rFonts w:ascii="Proba Pro" w:hAnsi="Proba Pro"/>
          <w:b/>
          <w:sz w:val="30"/>
          <w:szCs w:val="30"/>
          <w:shd w:val="clear" w:color="auto" w:fill="FFFFFF"/>
          <w:lang w:val="uk-UA"/>
        </w:rPr>
      </w:pPr>
      <w:r w:rsidRPr="008D5589">
        <w:rPr>
          <w:rFonts w:ascii="Proba Pro" w:hAnsi="Proba Pro"/>
          <w:b/>
          <w:sz w:val="30"/>
          <w:szCs w:val="30"/>
          <w:shd w:val="clear" w:color="auto" w:fill="FFFFFF"/>
          <w:lang w:val="uk-UA"/>
        </w:rPr>
        <w:t>Чи однакові за своїм значенням поняття «торгівля» та «торговельна діяльність» в межах господарської діяльності?</w:t>
      </w:r>
    </w:p>
    <w:p w:rsidR="008D5589" w:rsidRPr="008D5589" w:rsidRDefault="008D5589" w:rsidP="008D55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55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Поняття «торгівля» та «торговельна діяльність», в межах господарської діяльності, є різні за своїм значенням, оскільки «торговельна діяльність» є ширшим поняттям за «торгівлю» та включає в себе, окрім належних виключно йому ознак, і ті ознаки, які притаманні поняттю «торгівля».</w:t>
      </w:r>
    </w:p>
    <w:p w:rsidR="008D5589" w:rsidRPr="008D5589" w:rsidRDefault="008D5589" w:rsidP="008D55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55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При цьому, поняття «сфера торгівлі» означає не стільки діяльність, скільки суспільні відносини, у які вступають суб’єкти торговельної діяльності. Наприклад, відносини, пов’язані з укладенням договорів, спрямованих на продаж товарів, є цивільно-правовими відносинами.</w:t>
      </w:r>
    </w:p>
    <w:p w:rsidR="008D5589" w:rsidRPr="008D5589" w:rsidRDefault="008D5589" w:rsidP="008D55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55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Відповідно до ст. 263 Господарського кодексу України від 16 січня 2003 року № 436-IV із змінами та доповненнями (далі – ГКУ) господарсько-торговельною є діяльність, що здійснюється суб’єктами господарювання у сфері товарного обігу, спрямована на реалізацію продукції виробничо-технічного призначення і виробів народного споживання, а також допоміжна діяльність, яка забезпечує їх реалізацію шляхом надання відповідних послуг.</w:t>
      </w:r>
    </w:p>
    <w:p w:rsidR="008D5589" w:rsidRPr="008D5589" w:rsidRDefault="008D5589" w:rsidP="008D55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55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Податковий кодекс України від 02 грудня 2010 року № 2755-VI із змінами та доповненнями «торговельну діяльність» тлумачить як роздрібну та оптову торгівлю, діяльність у торговельно-виробничій сфері за готівковий та безготівковий розрахунок.</w:t>
      </w:r>
    </w:p>
    <w:p w:rsidR="008D5589" w:rsidRPr="008D5589" w:rsidRDefault="008D5589" w:rsidP="008D55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55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Згідно з Національним стандартом України ДСТУ 4303:2004 «Роздрібна та оптова торгівля» торговельна діяльність – ініціативна, систематична, виконувана на власний ризик для одержання прибутку діяльність юридичних і фізичних осіб щодо купівлі та продажу товарів кінцевим споживачам, або посередницькі операції, або діяльність із надавання агентських, представницьких, комісійних та інших послуг у просуванні товарів від виробника до споживача.</w:t>
      </w:r>
    </w:p>
    <w:p w:rsidR="008D5589" w:rsidRPr="008D5589" w:rsidRDefault="008D5589" w:rsidP="008D55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55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Частиною третьою ст. 263 ГКУ передбачено, що господарсько-торговельна діяльність може здійснюватися суб’єктами господарювання в таких формах: матеріально-технічне постачання й збут; енергопостачання; заготівля; оптова торгівля; роздрібна торгівля й громадське харчування; продаж і передача в оренду засобів виробництва; комерційне посередництво у здійсненні торговельної діяльності й інша допоміжна діяльність із забезпечення реалізації товарів (послуг).</w:t>
      </w:r>
    </w:p>
    <w:p w:rsidR="008D5589" w:rsidRPr="008D5589" w:rsidRDefault="008D5589" w:rsidP="008D55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55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Нормативно-правове визначення кожної з наведених форм встановлено ГКУ, Цивільним кодексом України від 16 січня 2003 року № 435-IV із змінами та доповненнями та відповідними законодавчими актами.</w:t>
      </w:r>
    </w:p>
    <w:p w:rsidR="008D5589" w:rsidRPr="008D5589" w:rsidRDefault="008D5589" w:rsidP="008D55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55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Під такою формою торговельної діяльності як «Матеріально-технічне постачання та збут», у тому числі продукції виробничо-технічного призначення </w:t>
      </w:r>
      <w:r w:rsidRPr="008D55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і виробів народного споживання, як власного виробництва, так і придбаних у інших суб’єктів господарювання, слід розуміти поставку товарів, що у випадках, передбачених ГКУ, здійснюється на підставі договорів купівлі-продажу. Законодавством можуть бути передбачені особливості поставки окремих видів продукції виробничо-технічного призначення або виробів народного споживання, а також особливий порядок здійснення поставки продукції для пріоритетних державних потреб.</w:t>
      </w:r>
    </w:p>
    <w:p w:rsidR="008D5589" w:rsidRPr="008D5589" w:rsidRDefault="008D5589" w:rsidP="008D55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55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Водночас, «Виробництво» – процес створення матеріальних і суспільних благ, необхідних для існування і розвитку; «Торгівля» – процес обміну товарами, послугами, цінностями і грошима. У широкому значенні – вид підприємницької діяльності, пов’язаний з купівлею-продажем товарів.</w:t>
      </w:r>
    </w:p>
    <w:p w:rsidR="008D5589" w:rsidRDefault="008D5589" w:rsidP="008D55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8D55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Закон України від 06 липня 1995 року № 265/95-ВР «Про застосування реєстраторів розрахункових операцій у сфері торгівлі, громадського харчування та послуг» із змінами та доповненням (далі – Закон № 265) однаково розповсюджує свою дію як на продаж товарів власного виробництва, так і продаж товарів, придбаних у інших суб’єктів господарювання, про що зазначено у преамбулі Закону № 265.</w:t>
      </w:r>
    </w:p>
    <w:p w:rsidR="008D5589" w:rsidRPr="008D5589" w:rsidRDefault="008D5589" w:rsidP="008D558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D55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 інформацією загальнодоступного інформаційно-довідкового ресурсу.</w:t>
      </w:r>
    </w:p>
    <w:p w:rsidR="008D5589" w:rsidRDefault="008D5589" w:rsidP="008D558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A69E8" w:rsidRDefault="00AA69E8" w:rsidP="008D558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A69E8" w:rsidRDefault="00AA69E8" w:rsidP="008D558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A69E8" w:rsidRDefault="00AA69E8" w:rsidP="008D558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A69E8" w:rsidRDefault="00AA69E8" w:rsidP="008D558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A69E8" w:rsidRDefault="00AA69E8" w:rsidP="008D558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A69E8" w:rsidRDefault="00AA69E8" w:rsidP="008D558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A69E8" w:rsidRDefault="00AA69E8" w:rsidP="008D558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A69E8" w:rsidRDefault="00AA69E8" w:rsidP="008D558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A69E8" w:rsidRDefault="00AA69E8" w:rsidP="008D558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A69E8" w:rsidRDefault="00AA69E8" w:rsidP="008D558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A69E8" w:rsidRDefault="00AA69E8" w:rsidP="008D558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A69E8" w:rsidRPr="00AA69E8" w:rsidRDefault="00AA69E8" w:rsidP="008D558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D5589" w:rsidRDefault="008D5589" w:rsidP="008D55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D5589" w:rsidRDefault="008D5589" w:rsidP="008D55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D5589" w:rsidRDefault="008D5589" w:rsidP="008D55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D5589" w:rsidRDefault="008D5589" w:rsidP="008D55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D5589" w:rsidRDefault="008D5589" w:rsidP="008D55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D5589" w:rsidRDefault="008D5589" w:rsidP="008D55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D5589" w:rsidRDefault="008D5589" w:rsidP="008D55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D5589" w:rsidRDefault="008D5589" w:rsidP="008D55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D5589" w:rsidRDefault="008D5589" w:rsidP="008D55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D5589" w:rsidRPr="008D5589" w:rsidRDefault="008D5589" w:rsidP="008D55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D5589" w:rsidRPr="00CB6A07" w:rsidRDefault="008D5589" w:rsidP="008D5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5589" w:rsidRDefault="008D5589" w:rsidP="008D5589">
      <w:pPr>
        <w:spacing w:after="0" w:line="240" w:lineRule="auto"/>
        <w:jc w:val="both"/>
        <w:rPr>
          <w:rStyle w:val="a5"/>
          <w:rFonts w:ascii="Times New Roman" w:hAnsi="Times New Roman" w:cs="Times New Roman"/>
          <w:color w:val="0070C0"/>
          <w:sz w:val="20"/>
          <w:szCs w:val="20"/>
        </w:rPr>
      </w:pPr>
      <w:r w:rsidRPr="00CB6A07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CB6A07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CB6A0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CB6A07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CB6A07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CB6A07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CB6A07">
        <w:rPr>
          <w:rFonts w:ascii="Times New Roman" w:hAnsi="Times New Roman" w:cs="Times New Roman"/>
          <w:sz w:val="20"/>
          <w:szCs w:val="20"/>
        </w:rPr>
        <w:t>-</w:t>
      </w:r>
      <w:r w:rsidRPr="00CB6A07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CB6A07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5D27DE">
          <w:rPr>
            <w:rStyle w:val="a5"/>
            <w:rFonts w:ascii="Times New Roman" w:hAnsi="Times New Roman" w:cs="Times New Roman"/>
            <w:color w:val="0070C0"/>
            <w:sz w:val="20"/>
            <w:szCs w:val="20"/>
            <w:lang w:val="en-US"/>
          </w:rPr>
          <w:t>ck</w:t>
        </w:r>
        <w:r w:rsidRPr="005D27DE">
          <w:rPr>
            <w:rStyle w:val="a5"/>
            <w:rFonts w:ascii="Times New Roman" w:hAnsi="Times New Roman" w:cs="Times New Roman"/>
            <w:color w:val="0070C0"/>
            <w:sz w:val="20"/>
            <w:szCs w:val="20"/>
          </w:rPr>
          <w:t>.</w:t>
        </w:r>
        <w:r w:rsidRPr="005D27DE">
          <w:rPr>
            <w:rStyle w:val="a5"/>
            <w:rFonts w:ascii="Times New Roman" w:hAnsi="Times New Roman" w:cs="Times New Roman"/>
            <w:color w:val="0070C0"/>
            <w:sz w:val="20"/>
            <w:szCs w:val="20"/>
            <w:lang w:val="en-US"/>
          </w:rPr>
          <w:t>zmi</w:t>
        </w:r>
        <w:r w:rsidRPr="005D27DE">
          <w:rPr>
            <w:rStyle w:val="a5"/>
            <w:rFonts w:ascii="Times New Roman" w:hAnsi="Times New Roman" w:cs="Times New Roman"/>
            <w:color w:val="0070C0"/>
            <w:sz w:val="20"/>
            <w:szCs w:val="20"/>
          </w:rPr>
          <w:t>@</w:t>
        </w:r>
        <w:r w:rsidRPr="005D27DE">
          <w:rPr>
            <w:rStyle w:val="a5"/>
            <w:rFonts w:ascii="Times New Roman" w:hAnsi="Times New Roman" w:cs="Times New Roman"/>
            <w:color w:val="0070C0"/>
            <w:sz w:val="20"/>
            <w:szCs w:val="20"/>
            <w:lang w:val="en-US"/>
          </w:rPr>
          <w:t>tax</w:t>
        </w:r>
        <w:r w:rsidRPr="005D27DE">
          <w:rPr>
            <w:rStyle w:val="a5"/>
            <w:rFonts w:ascii="Times New Roman" w:hAnsi="Times New Roman" w:cs="Times New Roman"/>
            <w:color w:val="0070C0"/>
            <w:sz w:val="20"/>
            <w:szCs w:val="20"/>
          </w:rPr>
          <w:t>.</w:t>
        </w:r>
        <w:r w:rsidRPr="005D27DE">
          <w:rPr>
            <w:rStyle w:val="a5"/>
            <w:rFonts w:ascii="Times New Roman" w:hAnsi="Times New Roman" w:cs="Times New Roman"/>
            <w:color w:val="0070C0"/>
            <w:sz w:val="20"/>
            <w:szCs w:val="20"/>
            <w:lang w:val="en-US"/>
          </w:rPr>
          <w:t>gov</w:t>
        </w:r>
        <w:r w:rsidRPr="005D27DE">
          <w:rPr>
            <w:rStyle w:val="a5"/>
            <w:rFonts w:ascii="Times New Roman" w:hAnsi="Times New Roman" w:cs="Times New Roman"/>
            <w:color w:val="0070C0"/>
            <w:sz w:val="20"/>
            <w:szCs w:val="20"/>
          </w:rPr>
          <w:t>.</w:t>
        </w:r>
        <w:proofErr w:type="spellStart"/>
        <w:r w:rsidRPr="005D27DE">
          <w:rPr>
            <w:rStyle w:val="a5"/>
            <w:rFonts w:ascii="Times New Roman" w:hAnsi="Times New Roman" w:cs="Times New Roman"/>
            <w:color w:val="0070C0"/>
            <w:sz w:val="20"/>
            <w:szCs w:val="20"/>
            <w:lang w:val="en-US"/>
          </w:rPr>
          <w:t>ua</w:t>
        </w:r>
        <w:proofErr w:type="spellEnd"/>
      </w:hyperlink>
    </w:p>
    <w:p w:rsidR="008D5589" w:rsidRPr="008D5589" w:rsidRDefault="008D5589" w:rsidP="00AA69E8">
      <w:pPr>
        <w:spacing w:after="0" w:line="240" w:lineRule="auto"/>
        <w:jc w:val="both"/>
        <w:rPr>
          <w:lang w:val="uk-UA"/>
        </w:rPr>
      </w:pPr>
      <w:r w:rsidRPr="00CB6A07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</w:t>
      </w:r>
      <w:r w:rsidRPr="005D27DE">
        <w:rPr>
          <w:rFonts w:ascii="Times New Roman" w:hAnsi="Times New Roman" w:cs="Times New Roman"/>
          <w:color w:val="0070C0"/>
          <w:sz w:val="20"/>
          <w:szCs w:val="20"/>
        </w:rPr>
        <w:t xml:space="preserve">     </w:t>
      </w:r>
      <w:hyperlink r:id="rId7" w:history="1">
        <w:r w:rsidRPr="005D27DE">
          <w:rPr>
            <w:rStyle w:val="a5"/>
            <w:rFonts w:ascii="Times New Roman" w:hAnsi="Times New Roman" w:cs="Times New Roman"/>
            <w:color w:val="0070C0"/>
            <w:sz w:val="20"/>
            <w:szCs w:val="20"/>
          </w:rPr>
          <w:t>https://ck.tax.gov.ua/</w:t>
        </w:r>
      </w:hyperlink>
    </w:p>
    <w:sectPr w:rsidR="008D5589" w:rsidRPr="008D5589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589"/>
    <w:rsid w:val="00210F6B"/>
    <w:rsid w:val="004A64BE"/>
    <w:rsid w:val="00751448"/>
    <w:rsid w:val="008D5589"/>
    <w:rsid w:val="00AA69E8"/>
    <w:rsid w:val="00D2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589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8D5589"/>
  </w:style>
  <w:style w:type="character" w:styleId="a5">
    <w:name w:val="Hyperlink"/>
    <w:uiPriority w:val="99"/>
    <w:rsid w:val="008D558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589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8D5589"/>
  </w:style>
  <w:style w:type="character" w:styleId="a5">
    <w:name w:val="Hyperlink"/>
    <w:uiPriority w:val="99"/>
    <w:rsid w:val="008D55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2600</Words>
  <Characters>1483</Characters>
  <Application>Microsoft Office Word</Application>
  <DocSecurity>4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2022-08-16T13:38:00Z</cp:lastPrinted>
  <dcterms:created xsi:type="dcterms:W3CDTF">2022-08-19T08:27:00Z</dcterms:created>
  <dcterms:modified xsi:type="dcterms:W3CDTF">2022-08-19T08:27:00Z</dcterms:modified>
</cp:coreProperties>
</file>